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FE" w:rsidRDefault="009F58FE" w:rsidP="006248B2">
      <w:pPr>
        <w:widowControl w:val="0"/>
        <w:tabs>
          <w:tab w:val="left" w:pos="567"/>
          <w:tab w:val="left" w:pos="1080"/>
        </w:tabs>
        <w:jc w:val="center"/>
        <w:outlineLvl w:val="0"/>
        <w:rPr>
          <w:rFonts w:eastAsia="Arial Unicode MS"/>
          <w:b/>
          <w:sz w:val="32"/>
          <w:szCs w:val="32"/>
          <w:u w:val="single" w:color="000000"/>
        </w:rPr>
      </w:pPr>
      <w:bookmarkStart w:id="0" w:name="_GoBack"/>
      <w:r w:rsidRPr="009F58FE">
        <w:rPr>
          <w:rFonts w:eastAsiaTheme="minorEastAsia"/>
          <w:b/>
          <w:bCs/>
          <w:sz w:val="32"/>
          <w:szCs w:val="32"/>
        </w:rPr>
        <w:t xml:space="preserve">УЧЕТ СТАЖА РАБОТЫ НА СУДНЕ </w:t>
      </w:r>
      <w:bookmarkEnd w:id="0"/>
      <w:r w:rsidRPr="009F58FE">
        <w:rPr>
          <w:rFonts w:eastAsiaTheme="minorEastAsia"/>
          <w:b/>
          <w:bCs/>
          <w:sz w:val="32"/>
          <w:szCs w:val="32"/>
        </w:rPr>
        <w:t>И ПРАКТИЧЕСКОЙ ПОДГОТОВКИ В МОРСКИХ ОБРАЗОВАТЕЛЬНЫХ ОРГАНИЗАЦИЯХ</w:t>
      </w:r>
      <w:r w:rsidRPr="006248B2">
        <w:rPr>
          <w:rFonts w:eastAsia="Arial Unicode MS"/>
          <w:b/>
          <w:sz w:val="32"/>
          <w:szCs w:val="32"/>
          <w:u w:val="single" w:color="000000"/>
        </w:rPr>
        <w:t xml:space="preserve"> </w:t>
      </w:r>
    </w:p>
    <w:p w:rsidR="0008098F" w:rsidRDefault="0008098F" w:rsidP="006248B2">
      <w:pPr>
        <w:widowControl w:val="0"/>
        <w:tabs>
          <w:tab w:val="left" w:pos="567"/>
          <w:tab w:val="left" w:pos="1080"/>
        </w:tabs>
        <w:jc w:val="center"/>
        <w:outlineLvl w:val="0"/>
        <w:rPr>
          <w:rFonts w:eastAsia="Arial Unicode MS"/>
          <w:b/>
          <w:sz w:val="32"/>
          <w:szCs w:val="32"/>
          <w:u w:val="single" w:color="000000"/>
        </w:rPr>
      </w:pPr>
      <w:r w:rsidRPr="006248B2">
        <w:rPr>
          <w:rFonts w:eastAsia="Arial Unicode MS"/>
          <w:b/>
          <w:sz w:val="32"/>
          <w:szCs w:val="32"/>
          <w:u w:val="single" w:color="000000"/>
        </w:rPr>
        <w:t>(ВЫПИСКА ИЗ ПОЛОЖЕНИЯ О ДИПЛОМИРОВАНИИ ЧЛЕНОВ ЭКИПАЖЕЙ МОРСКИХ СУДОВ</w:t>
      </w:r>
      <w:r w:rsidR="009F58FE" w:rsidRPr="009F58FE">
        <w:t xml:space="preserve"> </w:t>
      </w:r>
      <w:r w:rsidR="009F58FE" w:rsidRPr="009F58FE">
        <w:rPr>
          <w:rFonts w:eastAsia="Arial Unicode MS"/>
          <w:b/>
          <w:sz w:val="32"/>
          <w:szCs w:val="32"/>
          <w:u w:val="single" w:color="000000"/>
        </w:rPr>
        <w:t>Приказ Минтранса РФ от 08.11.2021 N 378</w:t>
      </w:r>
      <w:r w:rsidRPr="006248B2">
        <w:rPr>
          <w:rFonts w:eastAsia="Arial Unicode MS"/>
          <w:b/>
          <w:sz w:val="32"/>
          <w:szCs w:val="32"/>
          <w:u w:val="single" w:color="000000"/>
        </w:rPr>
        <w:t>)</w:t>
      </w:r>
    </w:p>
    <w:p w:rsidR="009F58FE" w:rsidRPr="006248B2" w:rsidRDefault="009F58FE" w:rsidP="006248B2">
      <w:pPr>
        <w:widowControl w:val="0"/>
        <w:tabs>
          <w:tab w:val="left" w:pos="567"/>
          <w:tab w:val="left" w:pos="1080"/>
        </w:tabs>
        <w:jc w:val="center"/>
        <w:outlineLvl w:val="0"/>
        <w:rPr>
          <w:rFonts w:eastAsia="Arial Unicode MS"/>
          <w:b/>
          <w:sz w:val="32"/>
          <w:szCs w:val="32"/>
          <w:u w:val="single" w:color="000000"/>
        </w:rPr>
      </w:pP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19. Учет стажа работы на судне члена экипажа морского судна (далее - стаж работы на судне) осуществляется на основании информации, указанной в мореходной книжке и/или ином документе, содержащем сведения о работе моряка в качестве члена экипажа судна, и/или документов, подтверждающих выполнение учебной программы морской образовательной организации (при первичном получении выпускниками морских образовательных организаций дипломов вахтенных помощников капитана морского судна, вахтенного механика морского судна и электромеханика морского судна) (далее - документы, подтверждающие наличие стажа работы на судне).</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20. Для учета стажа работы на судне заявителем могут быть представлены иные документы, содержащие следующую информацию:</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должность члена экипажа судна согласно судовой роли;</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наименование судовладельца, адрес, телефоны, номер факсимильной связи, адрес электронной почты судовладельца;</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название и уникальный идентификатор судна в соответствии с требованиями Международной морской организации (номер ИМО судна);</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флаг и порт приписки судна;</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валовая вместимость;</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тип судна и род перевозимого груза (грузов);</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мощность двигательной установки и тип судовой силовой установки;</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мощность судового электрооборудования (для электромехаников);</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районы плавания судна и порты захода;</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дата начала и дата окончания работы на судне;</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указание функций по квалификационному документу, исполняемых на судне;</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 xml:space="preserve">общая продолжительность плавания с указанием продолжительности прибрежного плавания и плавания в полярных водах, а также плавания во льдах в период объявленной ледокольной проводки при следовании </w:t>
      </w:r>
      <w:r w:rsidRPr="009F58FE">
        <w:rPr>
          <w:rFonts w:eastAsiaTheme="minorEastAsia"/>
          <w:sz w:val="32"/>
          <w:szCs w:val="32"/>
        </w:rPr>
        <w:lastRenderedPageBreak/>
        <w:t xml:space="preserve">в (из) замерзающих морских портов (для судоводителей), а также с указанием стажа работы на судне, подпадающем под действие Кодекса МГТ (с указанием количества </w:t>
      </w:r>
      <w:proofErr w:type="spellStart"/>
      <w:r w:rsidRPr="009F58FE">
        <w:rPr>
          <w:rFonts w:eastAsiaTheme="minorEastAsia"/>
          <w:sz w:val="32"/>
          <w:szCs w:val="32"/>
        </w:rPr>
        <w:t>бункеровочных</w:t>
      </w:r>
      <w:proofErr w:type="spellEnd"/>
      <w:r w:rsidRPr="009F58FE">
        <w:rPr>
          <w:rFonts w:eastAsiaTheme="minorEastAsia"/>
          <w:sz w:val="32"/>
          <w:szCs w:val="32"/>
        </w:rPr>
        <w:t xml:space="preserve"> операций таким топливом), или танкерах, перевозящих в качестве груза виды топлива, охватываемые Кодексом МГТ;</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общее время несения ходовой вахты и работы в качестве стажера члена экипажа судна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выполнение требования пункта 7 Правила I/11 Конвенции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пунктом 2 Правила I/2 Конвенции ПДНВ на официальном сайте в информационно-телекоммуникационной сети "Интернет".</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21. В дипломном отделе службы капитана морского порта составляется заключение о соответствии стажа работы на судне по объему, времени набора и исполнению функций на борту судна для выдачи (продления) соответствующего квалификационного документа, которое подписывает капитан морского порта. В целях составления заключения используются сведения о трудовой деятельности в электронном виде или на бумажном носителе &lt;13&gt;, содержащиеся в судовых ролях, копии которых представляет заявитель (при наличии данных документов у заявителя), письменных подтверждениях судовладельцев, организаций, осуществляющих деятельность по оказанию услуг по трудоустройству граждан Российской Федерации за пределами территории Российской Федерации &lt;14&gt;, на основании соответствующих запросов капитана морского порта. Документы, на основании которых составлено заключение, с копиями иных подтверждающих документов приобщаются к дипломному делу вместе с заключением о соответствии стажа работы на судне. По требованию заявителя копия заключения о соответствии стажа работы на судне выдается заявителю.</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 xml:space="preserve">&lt;13&gt; </w:t>
      </w:r>
      <w:hyperlink r:id="rId7" w:history="1">
        <w:r w:rsidRPr="009F58FE">
          <w:rPr>
            <w:rFonts w:eastAsiaTheme="minorEastAsia"/>
            <w:sz w:val="32"/>
            <w:szCs w:val="32"/>
            <w:u w:val="single"/>
          </w:rPr>
          <w:t>Статья 66.1</w:t>
        </w:r>
      </w:hyperlink>
      <w:r w:rsidRPr="009F58FE">
        <w:rPr>
          <w:rFonts w:eastAsiaTheme="minorEastAsia"/>
          <w:sz w:val="32"/>
          <w:szCs w:val="32"/>
        </w:rPr>
        <w:t xml:space="preserve"> Трудового кодекса Российской Федерации (Собрание законодательства Российской Федерации, 2002, N 1, ст. 3; 2019, N 51, ст. 7491).</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 xml:space="preserve">&lt;14&gt; </w:t>
      </w:r>
      <w:hyperlink r:id="rId8" w:history="1">
        <w:r w:rsidRPr="009F58FE">
          <w:rPr>
            <w:rFonts w:eastAsiaTheme="minorEastAsia"/>
            <w:sz w:val="32"/>
            <w:szCs w:val="32"/>
            <w:u w:val="single"/>
          </w:rPr>
          <w:t>Пункт 35</w:t>
        </w:r>
      </w:hyperlink>
      <w:r w:rsidRPr="009F58FE">
        <w:rPr>
          <w:rFonts w:eastAsiaTheme="minorEastAsia"/>
          <w:sz w:val="32"/>
          <w:szCs w:val="32"/>
        </w:rPr>
        <w:t xml:space="preserve"> части 1 статьи 12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9F58FE" w:rsidRPr="009F58FE" w:rsidRDefault="009F58FE" w:rsidP="009F58FE">
      <w:pPr>
        <w:widowControl w:val="0"/>
        <w:autoSpaceDE w:val="0"/>
        <w:autoSpaceDN w:val="0"/>
        <w:adjustRightInd w:val="0"/>
        <w:rPr>
          <w:rFonts w:eastAsiaTheme="minorEastAsia"/>
          <w:sz w:val="32"/>
          <w:szCs w:val="32"/>
        </w:rPr>
      </w:pP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22. В стаж работы на судне включаются время стоянки судна в порту в процессе непрерывного плавания, время нахождения судна в ремонте, время работы на несамоходных судах в совокупности не более одного месяца, за исключением стоечных судов.</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Стаж работы на стоечных судах учитывается при получении и продлении любых квалификационных документов для работы только на стоечных судах.</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23. Для учета стажа работы на судне все дни неполных месяцев пересчитываются пропорционально тридцати дням.</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24. В стаж работы на судне судоводителей и членов экипажей, несущих ходовую вахту на ходовом мостике, включается исполнение обязанностей на несамоходных судах во время их морской буксировки.</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В стаж работы на судне судомехаников, электромехаников и рядового состава экипажа морского судна, несущего ходовую вахту, включается время обслуживания судовых механизмов на ходу, при буксировке и в стационарном положении на несамоходных судах в совокупности не более одного месяца.</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Стаж работы на рыбопромысловых судах с валовой вместимостью менее 500 и длиной 20 м и более учитывается при получении и продлении квалификационных документов судоводителей на более высокий уровень для работы на рыбопромысловых судах валовой вместимостью от 500 до 3000.</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25. Для получения выпускниками морских образовательных организаций дипломов вахтенного помощника капитана морского судна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двадцати четырех часов заявленного стажа работы на судне.</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26.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Конвенцией ПДНВ для соответствующих специальностей, включая информацию о прохождении стажировки с практической отработкой всех функций по диплому, на получение которого претендует выпускник.</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 xml:space="preserve">27. Выпускникам морских образовательных организаций для получения </w:t>
      </w:r>
      <w:r w:rsidRPr="009F58FE">
        <w:rPr>
          <w:rFonts w:eastAsiaTheme="minorEastAsia"/>
          <w:sz w:val="32"/>
          <w:szCs w:val="32"/>
        </w:rPr>
        <w:lastRenderedPageBreak/>
        <w:t>диплома вахтенного помощника капитана морского судна валовой вместимостью 500 и более засчитывается в том числе стаж прибрежного плавания.</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28. Стаж работы на судне иного, чем прибрежное, плавания и плавания по внутренним водным путям, включая плавание для захода в порт и выхода из порта, стоянку в порту до тридцати суток, учитывается для выдачи любого квалификационного документа судоводителя.</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29. Стаж работы на судне прибрежного плавания, включая плавание для захода в порт и выхода из порта, а также плавание во внутренних морских водах Российской Федерации и по внутренним водным путям Российской Федерации не более одного месяца, учитывается для выдачи квалификационного документа судоводителя прибрежного плавания.</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30. Стаж работы на судне для судовых механиков, электромехаников учитывается независимо от района плавания.</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31. Стаж работы на судне для получения первичного квалификационного документа капитана или командного состава судов должен быть получен на судах валовой вместимостью или с мощностью главной двигательной установки, предусмотренной соответствующим квалификационным документом, на получение которого претендует заявитель. При продлении квалификационного документа капитана или командного состава судов стаж работы на судне может быть получен на судах независимо от их валовой вместимости или мощности главной двигательной установки.</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32. Для получения выпускниками морских образовательных организаций дипломов вахтенного механика морского судна и электромеханика морского судна дополнительно к стажу работы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 или в ремонте.</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33. Для судовых радиоспециалистов учитывается стаж работы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работы на судне засчитывается работа по обслуживанию береговых объектов ГМССБ.</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t>34. Для рядового состава учитывается стаж работы на судах независимо от района плавания.</w:t>
      </w:r>
    </w:p>
    <w:p w:rsidR="009F58FE" w:rsidRPr="009F58FE" w:rsidRDefault="009F58FE" w:rsidP="009F58FE">
      <w:pPr>
        <w:widowControl w:val="0"/>
        <w:autoSpaceDE w:val="0"/>
        <w:autoSpaceDN w:val="0"/>
        <w:adjustRightInd w:val="0"/>
        <w:spacing w:after="150"/>
        <w:jc w:val="both"/>
        <w:rPr>
          <w:rFonts w:eastAsiaTheme="minorEastAsia"/>
          <w:sz w:val="32"/>
          <w:szCs w:val="32"/>
        </w:rPr>
      </w:pPr>
      <w:r w:rsidRPr="009F58FE">
        <w:rPr>
          <w:rFonts w:eastAsiaTheme="minorEastAsia"/>
          <w:sz w:val="32"/>
          <w:szCs w:val="32"/>
        </w:rPr>
        <w:lastRenderedPageBreak/>
        <w:t>35. Для получения квалификационных документов вахтенного матроса, вахтенного моториста и судового электрика учитывается стаж работы на судне в море независимо от валовой вместимости судна, мощности его главной двигательной установки, района плавания, включая плавание для захода в порт и выхода из него, полученный в рамках реализации программ профессионального обучения.</w:t>
      </w:r>
    </w:p>
    <w:p w:rsidR="006248B2" w:rsidRPr="009F58FE" w:rsidRDefault="006248B2" w:rsidP="006248B2">
      <w:pPr>
        <w:jc w:val="both"/>
        <w:rPr>
          <w:b/>
          <w:sz w:val="32"/>
          <w:szCs w:val="32"/>
          <w:u w:color="000000"/>
        </w:rPr>
      </w:pPr>
    </w:p>
    <w:p w:rsidR="0024673B" w:rsidRPr="00A3622E" w:rsidRDefault="001A3E23" w:rsidP="006248B2">
      <w:pPr>
        <w:jc w:val="both"/>
        <w:rPr>
          <w:b/>
          <w:sz w:val="32"/>
          <w:szCs w:val="32"/>
          <w:u w:color="000000"/>
        </w:rPr>
      </w:pPr>
      <w:r w:rsidRPr="006248B2">
        <w:rPr>
          <w:b/>
          <w:sz w:val="32"/>
          <w:szCs w:val="32"/>
          <w:u w:color="000000"/>
        </w:rPr>
        <w:t>Примечания</w:t>
      </w:r>
      <w:r w:rsidRPr="00A3622E">
        <w:rPr>
          <w:b/>
          <w:sz w:val="32"/>
          <w:szCs w:val="32"/>
          <w:u w:color="000000"/>
        </w:rPr>
        <w:t>/</w:t>
      </w:r>
    </w:p>
    <w:p w:rsidR="0024673B" w:rsidRPr="00A3622E" w:rsidRDefault="00DE56B1" w:rsidP="006248B2">
      <w:pPr>
        <w:jc w:val="both"/>
        <w:rPr>
          <w:sz w:val="32"/>
          <w:szCs w:val="32"/>
          <w:u w:color="000000"/>
        </w:rPr>
      </w:pPr>
      <w:r w:rsidRPr="006248B2">
        <w:rPr>
          <w:sz w:val="32"/>
          <w:szCs w:val="32"/>
          <w:u w:color="000000"/>
        </w:rPr>
        <w:t xml:space="preserve">*   </w:t>
      </w:r>
      <w:proofErr w:type="gramStart"/>
      <w:r w:rsidRPr="006248B2">
        <w:rPr>
          <w:sz w:val="32"/>
          <w:szCs w:val="32"/>
          <w:u w:color="000000"/>
        </w:rPr>
        <w:t>выполн</w:t>
      </w:r>
      <w:r w:rsidR="001A3E23" w:rsidRPr="006248B2">
        <w:rPr>
          <w:sz w:val="32"/>
          <w:szCs w:val="32"/>
          <w:u w:color="000000"/>
        </w:rPr>
        <w:t xml:space="preserve">ять </w:t>
      </w:r>
      <w:r w:rsidRPr="006248B2">
        <w:rPr>
          <w:sz w:val="32"/>
          <w:szCs w:val="32"/>
          <w:u w:color="000000"/>
        </w:rPr>
        <w:t xml:space="preserve"> обязанност</w:t>
      </w:r>
      <w:r w:rsidR="001A3E23" w:rsidRPr="006248B2">
        <w:rPr>
          <w:sz w:val="32"/>
          <w:szCs w:val="32"/>
          <w:u w:color="000000"/>
        </w:rPr>
        <w:t>и</w:t>
      </w:r>
      <w:proofErr w:type="gramEnd"/>
      <w:r w:rsidRPr="006248B2">
        <w:rPr>
          <w:sz w:val="32"/>
          <w:szCs w:val="32"/>
          <w:u w:color="000000"/>
        </w:rPr>
        <w:t xml:space="preserve"> по соответствующей специальности под руководством капитана/старшего механика </w:t>
      </w:r>
      <w:r w:rsidR="00A3622E" w:rsidRPr="00A3622E">
        <w:rPr>
          <w:sz w:val="32"/>
          <w:szCs w:val="32"/>
          <w:u w:color="000000"/>
        </w:rPr>
        <w:t xml:space="preserve">или </w:t>
      </w:r>
      <w:r w:rsidR="00A3622E" w:rsidRPr="00A3622E">
        <w:rPr>
          <w:sz w:val="32"/>
          <w:szCs w:val="32"/>
        </w:rPr>
        <w:t>дипломированного специалиста или квалифицированного руководителя практики</w:t>
      </w:r>
      <w:r w:rsidR="001A3E23" w:rsidRPr="00A3622E">
        <w:rPr>
          <w:sz w:val="32"/>
          <w:szCs w:val="32"/>
          <w:u w:color="000000"/>
        </w:rPr>
        <w:t xml:space="preserve"> в течении не менее 6 месяцев</w:t>
      </w:r>
      <w:r w:rsidR="006248B2" w:rsidRPr="00A3622E">
        <w:rPr>
          <w:sz w:val="32"/>
          <w:szCs w:val="32"/>
          <w:u w:color="000000"/>
        </w:rPr>
        <w:t>.</w:t>
      </w:r>
    </w:p>
    <w:p w:rsidR="001C0D98" w:rsidRPr="00A3622E" w:rsidRDefault="0024673B" w:rsidP="006248B2">
      <w:pPr>
        <w:rPr>
          <w:sz w:val="32"/>
          <w:szCs w:val="32"/>
        </w:rPr>
      </w:pPr>
      <w:r w:rsidRPr="00A3622E">
        <w:rPr>
          <w:sz w:val="32"/>
          <w:szCs w:val="32"/>
          <w:u w:color="000000"/>
        </w:rPr>
        <w:t>*</w:t>
      </w:r>
      <w:r w:rsidR="00301384" w:rsidRPr="00A3622E">
        <w:rPr>
          <w:sz w:val="32"/>
          <w:szCs w:val="32"/>
          <w:u w:color="000000"/>
        </w:rPr>
        <w:t>*</w:t>
      </w:r>
      <w:r w:rsidRPr="00A3622E">
        <w:rPr>
          <w:sz w:val="32"/>
          <w:szCs w:val="32"/>
          <w:u w:color="000000"/>
        </w:rPr>
        <w:t xml:space="preserve"> </w:t>
      </w:r>
      <w:r w:rsidR="001C0D98" w:rsidRPr="00A3622E">
        <w:rPr>
          <w:sz w:val="32"/>
          <w:szCs w:val="32"/>
        </w:rPr>
        <w:t xml:space="preserve">Прибрежное плавание – на удалении от берега до </w:t>
      </w:r>
      <w:smartTag w:uri="urn:schemas-microsoft-com:office:smarttags" w:element="metricconverter">
        <w:smartTagPr>
          <w:attr w:name="ProductID" w:val="50 м"/>
        </w:smartTagPr>
        <w:r w:rsidR="001C0D98" w:rsidRPr="00A3622E">
          <w:rPr>
            <w:sz w:val="32"/>
            <w:szCs w:val="32"/>
          </w:rPr>
          <w:t xml:space="preserve">50 </w:t>
        </w:r>
        <w:proofErr w:type="spellStart"/>
        <w:proofErr w:type="gramStart"/>
        <w:r w:rsidR="001C0D98" w:rsidRPr="00A3622E">
          <w:rPr>
            <w:sz w:val="32"/>
            <w:szCs w:val="32"/>
          </w:rPr>
          <w:t>м</w:t>
        </w:r>
      </w:smartTag>
      <w:r w:rsidR="001C0D98" w:rsidRPr="00A3622E">
        <w:rPr>
          <w:sz w:val="32"/>
          <w:szCs w:val="32"/>
        </w:rPr>
        <w:t>.миль</w:t>
      </w:r>
      <w:proofErr w:type="spellEnd"/>
      <w:proofErr w:type="gramEnd"/>
      <w:r w:rsidR="001C0D98" w:rsidRPr="00A3622E">
        <w:rPr>
          <w:sz w:val="32"/>
          <w:szCs w:val="32"/>
        </w:rPr>
        <w:t xml:space="preserve"> и до </w:t>
      </w:r>
      <w:smartTag w:uri="urn:schemas-microsoft-com:office:smarttags" w:element="metricconverter">
        <w:smartTagPr>
          <w:attr w:name="ProductID" w:val="250 м"/>
        </w:smartTagPr>
        <w:r w:rsidR="001C0D98" w:rsidRPr="00A3622E">
          <w:rPr>
            <w:sz w:val="32"/>
            <w:szCs w:val="32"/>
          </w:rPr>
          <w:t xml:space="preserve">250 </w:t>
        </w:r>
        <w:proofErr w:type="spellStart"/>
        <w:r w:rsidR="001C0D98" w:rsidRPr="00A3622E">
          <w:rPr>
            <w:sz w:val="32"/>
            <w:szCs w:val="32"/>
          </w:rPr>
          <w:t>м</w:t>
        </w:r>
      </w:smartTag>
      <w:r w:rsidR="001C0D98" w:rsidRPr="00A3622E">
        <w:rPr>
          <w:sz w:val="32"/>
          <w:szCs w:val="32"/>
        </w:rPr>
        <w:t>.миль</w:t>
      </w:r>
      <w:proofErr w:type="spellEnd"/>
      <w:r w:rsidR="001C0D98" w:rsidRPr="00A3622E">
        <w:rPr>
          <w:sz w:val="32"/>
          <w:szCs w:val="32"/>
        </w:rPr>
        <w:t xml:space="preserve"> от побережья Российской Федерации</w:t>
      </w:r>
      <w:r w:rsidR="006248B2" w:rsidRPr="00A3622E">
        <w:rPr>
          <w:sz w:val="32"/>
          <w:szCs w:val="32"/>
        </w:rPr>
        <w:t>.</w:t>
      </w:r>
    </w:p>
    <w:p w:rsidR="001C0D98" w:rsidRPr="00A3622E" w:rsidRDefault="001C0D98" w:rsidP="006248B2">
      <w:pPr>
        <w:ind w:firstLine="1134"/>
        <w:jc w:val="both"/>
        <w:rPr>
          <w:sz w:val="32"/>
          <w:szCs w:val="32"/>
          <w:u w:color="000000"/>
        </w:rPr>
      </w:pPr>
    </w:p>
    <w:p w:rsidR="0024673B" w:rsidRPr="006248B2" w:rsidRDefault="0024673B" w:rsidP="006248B2">
      <w:pPr>
        <w:jc w:val="both"/>
        <w:rPr>
          <w:sz w:val="32"/>
          <w:szCs w:val="32"/>
          <w:u w:color="000000"/>
        </w:rPr>
      </w:pPr>
    </w:p>
    <w:sectPr w:rsidR="0024673B" w:rsidRPr="006248B2" w:rsidSect="006248B2">
      <w:headerReference w:type="default" r:id="rId9"/>
      <w:footerReference w:type="default" r:id="rId10"/>
      <w:pgSz w:w="11906" w:h="16838"/>
      <w:pgMar w:top="0" w:right="849" w:bottom="1" w:left="1134" w:header="142" w:footer="1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A2" w:rsidRDefault="003515A2">
      <w:r>
        <w:separator/>
      </w:r>
    </w:p>
  </w:endnote>
  <w:endnote w:type="continuationSeparator" w:id="0">
    <w:p w:rsidR="003515A2" w:rsidRDefault="0035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A4" w:rsidRDefault="00C92BA4" w:rsidP="006248B2">
    <w:pPr>
      <w:pStyle w:val="a4"/>
    </w:pPr>
  </w:p>
  <w:p w:rsidR="006248B2" w:rsidRPr="006248B2" w:rsidRDefault="006248B2" w:rsidP="006248B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A2" w:rsidRDefault="003515A2">
      <w:r>
        <w:separator/>
      </w:r>
    </w:p>
  </w:footnote>
  <w:footnote w:type="continuationSeparator" w:id="0">
    <w:p w:rsidR="003515A2" w:rsidRDefault="00351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8C" w:rsidRDefault="004D198C" w:rsidP="001B11A4">
    <w:pPr>
      <w:pStyle w:val="a3"/>
      <w:jc w:val="right"/>
      <w:rPr>
        <w:b/>
        <w:sz w:val="18"/>
        <w:szCs w:val="18"/>
      </w:rPr>
    </w:pPr>
  </w:p>
  <w:p w:rsidR="006248B2" w:rsidRDefault="006248B2" w:rsidP="001B11A4">
    <w:pPr>
      <w:pStyle w:val="a3"/>
      <w:jc w:val="right"/>
      <w:rPr>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00"/>
    <w:multiLevelType w:val="hybridMultilevel"/>
    <w:tmpl w:val="0AB873E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AE5FD6"/>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4D3656F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5C9756BD"/>
    <w:multiLevelType w:val="hybridMultilevel"/>
    <w:tmpl w:val="F4AAD02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62156A2"/>
    <w:multiLevelType w:val="singleLevel"/>
    <w:tmpl w:val="04190017"/>
    <w:lvl w:ilvl="0">
      <w:start w:val="1"/>
      <w:numFmt w:val="lowerLetter"/>
      <w:lvlText w:val="%1)"/>
      <w:lvlJc w:val="left"/>
      <w:pPr>
        <w:tabs>
          <w:tab w:val="num" w:pos="360"/>
        </w:tabs>
        <w:ind w:left="360" w:hanging="360"/>
      </w:pPr>
    </w:lvl>
  </w:abstractNum>
  <w:abstractNum w:abstractNumId="5" w15:restartNumberingAfterBreak="0">
    <w:nsid w:val="7E8A38E0"/>
    <w:multiLevelType w:val="hybridMultilevel"/>
    <w:tmpl w:val="B56C97D8"/>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84"/>
    <w:rsid w:val="00035F0D"/>
    <w:rsid w:val="0008098F"/>
    <w:rsid w:val="00085753"/>
    <w:rsid w:val="00086809"/>
    <w:rsid w:val="000977AA"/>
    <w:rsid w:val="000A11E5"/>
    <w:rsid w:val="000A711C"/>
    <w:rsid w:val="000B1D57"/>
    <w:rsid w:val="000C71FD"/>
    <w:rsid w:val="000D3972"/>
    <w:rsid w:val="000F2881"/>
    <w:rsid w:val="000F7216"/>
    <w:rsid w:val="000F77B3"/>
    <w:rsid w:val="0010177F"/>
    <w:rsid w:val="00105378"/>
    <w:rsid w:val="00107BCE"/>
    <w:rsid w:val="00130445"/>
    <w:rsid w:val="00162BC0"/>
    <w:rsid w:val="00187018"/>
    <w:rsid w:val="0019754B"/>
    <w:rsid w:val="001A3E23"/>
    <w:rsid w:val="001B11A4"/>
    <w:rsid w:val="001C0D98"/>
    <w:rsid w:val="001D4CD3"/>
    <w:rsid w:val="001E28D1"/>
    <w:rsid w:val="001E7AB0"/>
    <w:rsid w:val="00244191"/>
    <w:rsid w:val="0024673B"/>
    <w:rsid w:val="002504D1"/>
    <w:rsid w:val="00265DF4"/>
    <w:rsid w:val="002B2DCE"/>
    <w:rsid w:val="002B64D9"/>
    <w:rsid w:val="002C57A9"/>
    <w:rsid w:val="002F129A"/>
    <w:rsid w:val="00300D29"/>
    <w:rsid w:val="00301384"/>
    <w:rsid w:val="00330AFC"/>
    <w:rsid w:val="003323A0"/>
    <w:rsid w:val="00342A82"/>
    <w:rsid w:val="00345AF9"/>
    <w:rsid w:val="003515A2"/>
    <w:rsid w:val="003554EB"/>
    <w:rsid w:val="00370979"/>
    <w:rsid w:val="00391350"/>
    <w:rsid w:val="003D74EB"/>
    <w:rsid w:val="003E08C7"/>
    <w:rsid w:val="003F2298"/>
    <w:rsid w:val="003F6346"/>
    <w:rsid w:val="00403DF0"/>
    <w:rsid w:val="004167A0"/>
    <w:rsid w:val="004268BF"/>
    <w:rsid w:val="00435271"/>
    <w:rsid w:val="00435FC0"/>
    <w:rsid w:val="0044296C"/>
    <w:rsid w:val="00454DE6"/>
    <w:rsid w:val="004955DB"/>
    <w:rsid w:val="004C515C"/>
    <w:rsid w:val="004C5F31"/>
    <w:rsid w:val="004D198C"/>
    <w:rsid w:val="004D21C7"/>
    <w:rsid w:val="004E1172"/>
    <w:rsid w:val="004F49B2"/>
    <w:rsid w:val="004F4B74"/>
    <w:rsid w:val="00516076"/>
    <w:rsid w:val="00542507"/>
    <w:rsid w:val="0055392C"/>
    <w:rsid w:val="00554B40"/>
    <w:rsid w:val="0058021B"/>
    <w:rsid w:val="00597119"/>
    <w:rsid w:val="005C166D"/>
    <w:rsid w:val="005E0101"/>
    <w:rsid w:val="005F51A1"/>
    <w:rsid w:val="006248B2"/>
    <w:rsid w:val="00624FBE"/>
    <w:rsid w:val="00627A2E"/>
    <w:rsid w:val="00694FB6"/>
    <w:rsid w:val="006A40BB"/>
    <w:rsid w:val="006C3704"/>
    <w:rsid w:val="006C5DE8"/>
    <w:rsid w:val="0071213D"/>
    <w:rsid w:val="007136DB"/>
    <w:rsid w:val="007353BF"/>
    <w:rsid w:val="0075126D"/>
    <w:rsid w:val="00751A8D"/>
    <w:rsid w:val="00752126"/>
    <w:rsid w:val="0077044E"/>
    <w:rsid w:val="00772BD3"/>
    <w:rsid w:val="007770C9"/>
    <w:rsid w:val="007C7EE3"/>
    <w:rsid w:val="007D4CF3"/>
    <w:rsid w:val="007F653B"/>
    <w:rsid w:val="00815235"/>
    <w:rsid w:val="008163EE"/>
    <w:rsid w:val="0082203A"/>
    <w:rsid w:val="00825A35"/>
    <w:rsid w:val="00836A75"/>
    <w:rsid w:val="008417BA"/>
    <w:rsid w:val="00844AA1"/>
    <w:rsid w:val="00873D9A"/>
    <w:rsid w:val="0088604B"/>
    <w:rsid w:val="008910A5"/>
    <w:rsid w:val="008C53B5"/>
    <w:rsid w:val="008F1A51"/>
    <w:rsid w:val="0091516B"/>
    <w:rsid w:val="00935DCA"/>
    <w:rsid w:val="00967878"/>
    <w:rsid w:val="00973D11"/>
    <w:rsid w:val="00986DBE"/>
    <w:rsid w:val="009A7D09"/>
    <w:rsid w:val="009B31A0"/>
    <w:rsid w:val="009C3573"/>
    <w:rsid w:val="009C394F"/>
    <w:rsid w:val="009D013B"/>
    <w:rsid w:val="009F0E2C"/>
    <w:rsid w:val="009F58FE"/>
    <w:rsid w:val="00A3622E"/>
    <w:rsid w:val="00A53C1E"/>
    <w:rsid w:val="00A82ACD"/>
    <w:rsid w:val="00AA311F"/>
    <w:rsid w:val="00AB6ED3"/>
    <w:rsid w:val="00AC1BDC"/>
    <w:rsid w:val="00AD5E54"/>
    <w:rsid w:val="00B020C8"/>
    <w:rsid w:val="00B066E1"/>
    <w:rsid w:val="00B347ED"/>
    <w:rsid w:val="00B5346D"/>
    <w:rsid w:val="00B6516A"/>
    <w:rsid w:val="00BC56E8"/>
    <w:rsid w:val="00BE4F09"/>
    <w:rsid w:val="00C03C29"/>
    <w:rsid w:val="00C066BC"/>
    <w:rsid w:val="00C16330"/>
    <w:rsid w:val="00C32F89"/>
    <w:rsid w:val="00C47EEF"/>
    <w:rsid w:val="00C63F5C"/>
    <w:rsid w:val="00C91B82"/>
    <w:rsid w:val="00C92BA4"/>
    <w:rsid w:val="00C968E0"/>
    <w:rsid w:val="00CA5172"/>
    <w:rsid w:val="00CC3643"/>
    <w:rsid w:val="00CD39C0"/>
    <w:rsid w:val="00CE1397"/>
    <w:rsid w:val="00D04738"/>
    <w:rsid w:val="00D81164"/>
    <w:rsid w:val="00D93A19"/>
    <w:rsid w:val="00D93BF1"/>
    <w:rsid w:val="00D95D7F"/>
    <w:rsid w:val="00DB20A8"/>
    <w:rsid w:val="00DC0773"/>
    <w:rsid w:val="00DE56B1"/>
    <w:rsid w:val="00DF427C"/>
    <w:rsid w:val="00E007CF"/>
    <w:rsid w:val="00E0421D"/>
    <w:rsid w:val="00E64C38"/>
    <w:rsid w:val="00E91F17"/>
    <w:rsid w:val="00EB1FEB"/>
    <w:rsid w:val="00EF2428"/>
    <w:rsid w:val="00EF6FEE"/>
    <w:rsid w:val="00EF7063"/>
    <w:rsid w:val="00F109B1"/>
    <w:rsid w:val="00F22B73"/>
    <w:rsid w:val="00F44DF0"/>
    <w:rsid w:val="00F5072D"/>
    <w:rsid w:val="00F74030"/>
    <w:rsid w:val="00F869F0"/>
    <w:rsid w:val="00F86ACB"/>
    <w:rsid w:val="00FA2DDF"/>
    <w:rsid w:val="00FA37A1"/>
    <w:rsid w:val="00FC65EE"/>
    <w:rsid w:val="00FC6BE3"/>
    <w:rsid w:val="00FD08CE"/>
    <w:rsid w:val="00FD43B5"/>
    <w:rsid w:val="00FD58A2"/>
    <w:rsid w:val="00FE256F"/>
    <w:rsid w:val="00FF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4EFAAE"/>
  <w15:docId w15:val="{D9F78460-F6A8-4414-89DA-680BDE01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alloon Text"/>
    <w:basedOn w:val="a"/>
    <w:link w:val="a6"/>
    <w:rsid w:val="006248B2"/>
    <w:rPr>
      <w:rFonts w:ascii="Tahoma" w:hAnsi="Tahoma" w:cs="Tahoma"/>
      <w:sz w:val="16"/>
      <w:szCs w:val="16"/>
    </w:rPr>
  </w:style>
  <w:style w:type="character" w:customStyle="1" w:styleId="a6">
    <w:name w:val="Текст выноски Знак"/>
    <w:basedOn w:val="a0"/>
    <w:link w:val="a5"/>
    <w:rsid w:val="0062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8566#l53" TargetMode="External"/><Relationship Id="rId3" Type="http://schemas.openxmlformats.org/officeDocument/2006/relationships/settings" Target="settings.xml"/><Relationship Id="rId7" Type="http://schemas.openxmlformats.org/officeDocument/2006/relationships/hyperlink" Target="https://normativ.kontur.ru/document?moduleid=1&amp;documentid=407606#l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1388</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СПРАВКА ОСТАЖЕ РАБОТЫ НА СУДНЕ / CERTIFICATE OF SEAGOING SERVICE</vt:lpstr>
    </vt:vector>
  </TitlesOfParts>
  <Company>map</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ОСТАЖЕ РАБОТЫ НА СУДНЕ / CERTIFICATE OF SEAGOING SERVICE</dc:title>
  <dc:subject/>
  <dc:creator>ОТА</dc:creator>
  <cp:keywords/>
  <dc:description/>
  <cp:lastModifiedBy>Директор</cp:lastModifiedBy>
  <cp:revision>4</cp:revision>
  <cp:lastPrinted>2017-11-21T12:19:00Z</cp:lastPrinted>
  <dcterms:created xsi:type="dcterms:W3CDTF">2017-05-02T07:46:00Z</dcterms:created>
  <dcterms:modified xsi:type="dcterms:W3CDTF">2022-05-25T05:58:00Z</dcterms:modified>
</cp:coreProperties>
</file>